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2B" w:rsidRDefault="00456C2C">
      <w:pPr>
        <w:pStyle w:val="Ttulo1"/>
        <w:spacing w:before="99"/>
        <w:ind w:left="2397"/>
      </w:pPr>
      <w:r>
        <w:t>COMPROMISSO DE COMPRA E VENDA DE IMÓVEIS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spacing w:before="201" w:line="247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Pelo presente instrumento particular de compromisso de compra e venda, de um lado,  como </w:t>
      </w:r>
      <w:r>
        <w:rPr>
          <w:b/>
          <w:sz w:val="24"/>
        </w:rPr>
        <w:t>COMPROMITENTE VENDEDORA</w:t>
      </w:r>
      <w:r>
        <w:rPr>
          <w:sz w:val="24"/>
        </w:rPr>
        <w:t xml:space="preserve">, </w:t>
      </w:r>
      <w:r>
        <w:rPr>
          <w:b/>
          <w:sz w:val="24"/>
        </w:rPr>
        <w:t>PORTO BAGUARI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EMPREENDIMENTOS</w:t>
      </w:r>
    </w:p>
    <w:p w:rsidR="008A672B" w:rsidRDefault="00456C2C">
      <w:pPr>
        <w:pStyle w:val="Corpodetexto"/>
        <w:spacing w:line="247" w:lineRule="auto"/>
        <w:ind w:left="102" w:right="112"/>
        <w:jc w:val="both"/>
        <w:rPr>
          <w:b/>
        </w:rPr>
      </w:pPr>
      <w:r>
        <w:rPr>
          <w:b/>
        </w:rPr>
        <w:t>IMOBILIÁRIOS LTDA - ME.</w:t>
      </w:r>
      <w:r>
        <w:t xml:space="preserve">, pessoa jurídica de direito privado, devidamente inscrita no CNPJ/MF sob o n.º 19.181.545/0001-70, sediada na Rua: Juiz de Fora, nº 134, Loja nº 02, Bairro: Centro, na cidade de Ipatinga/MG, CEP 35160-031, neste ato representada por seu representante legal, e de outro lado o(a) </w:t>
      </w:r>
      <w:r w:rsidR="00C568E7">
        <w:rPr>
          <w:b/>
        </w:rPr>
        <w:t>Sr(a). ${@razao_social</w:t>
      </w:r>
      <w:r w:rsidR="00F972F7">
        <w:rPr>
          <w:b/>
        </w:rPr>
        <w:t>_cli}</w:t>
      </w:r>
      <w:r>
        <w:rPr>
          <w:b/>
        </w:rPr>
        <w:t xml:space="preserve">, </w:t>
      </w:r>
      <w:r w:rsidR="00F972F7">
        <w:t>brasileiro (a),${@estadocivil_cli}, ${@profissa</w:t>
      </w:r>
      <w:r>
        <w:t>o</w:t>
      </w:r>
      <w:r w:rsidR="00F972F7">
        <w:t>_clI}</w:t>
      </w:r>
      <w:r>
        <w:t>, inscrito (a</w:t>
      </w:r>
      <w:r w:rsidR="00F972F7">
        <w:t>) no CPF sob o nº ${@cpf_cli}</w:t>
      </w:r>
      <w:r>
        <w:t>, portador (a) da Cartei</w:t>
      </w:r>
      <w:r w:rsidR="00F972F7">
        <w:t>ra de Identidade nº ${@rg_cli}, expedido (a) pelo (a) ${@orgao_expedidor}</w:t>
      </w:r>
      <w:r>
        <w:t>, residente e domiciliado na</w:t>
      </w:r>
      <w:r w:rsidR="00F972F7">
        <w:t xml:space="preserve"> Rua: ${@endereco_cli}, nº ${@numero_cli}, Bairro ${@bairro_cli}, na cidade de ${@cidade_cli}/${@uf_cli}</w:t>
      </w:r>
      <w:r>
        <w:t xml:space="preserve">, doravante denominado (a) </w:t>
      </w:r>
      <w:r>
        <w:rPr>
          <w:b/>
        </w:rPr>
        <w:t>COMPROMISSÁRIO (A) COMPRADOR (A).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pStyle w:val="Corpodetexto"/>
        <w:spacing w:before="241" w:line="247" w:lineRule="auto"/>
        <w:ind w:left="102" w:right="115" w:firstLine="719"/>
        <w:jc w:val="both"/>
      </w:pPr>
      <w:r>
        <w:t>As partes acima nomeadas e no final assinadas, têm entre si justo e contratado o presente Contrato, mediante as seguintes cláusulas e condições, mútua e reciprocamente estipuladas e aceitas, a saber:</w:t>
      </w:r>
    </w:p>
    <w:p w:rsidR="008A672B" w:rsidRDefault="008A672B">
      <w:pPr>
        <w:pStyle w:val="Corpodetexto"/>
        <w:rPr>
          <w:sz w:val="28"/>
        </w:rPr>
      </w:pPr>
    </w:p>
    <w:p w:rsidR="008A672B" w:rsidRDefault="00456C2C">
      <w:pPr>
        <w:pStyle w:val="Ttulo1"/>
        <w:spacing w:before="239"/>
      </w:pPr>
      <w:r>
        <w:t>CLÁUSULA PRIMEIRA – DO IMÓVEL OBJETO DO CONTRATO</w:t>
      </w:r>
    </w:p>
    <w:p w:rsidR="008A672B" w:rsidRDefault="008A672B">
      <w:pPr>
        <w:pStyle w:val="Corpodetexto"/>
        <w:spacing w:before="5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Que a COMPROMITENTE VENDEDORA é senhora e legítima proprietária do </w:t>
      </w:r>
      <w:r w:rsidR="00F972F7">
        <w:rPr>
          <w:b/>
        </w:rPr>
        <w:t>lote de terreno de nº ${lote} da Quadra ${@quadra}</w:t>
      </w:r>
      <w:r>
        <w:rPr>
          <w:b/>
        </w:rPr>
        <w:t>, do PORTO DO SOL CONDOMÍNIO NÁUTICO</w:t>
      </w:r>
      <w:r>
        <w:t>, na cidade de PERIQUITO – MG, medindo a área de aproximadamente xxx,xx m</w:t>
      </w:r>
      <w:r>
        <w:rPr>
          <w:position w:val="6"/>
          <w:sz w:val="16"/>
        </w:rPr>
        <w:t xml:space="preserve">2 </w:t>
      </w:r>
      <w:r>
        <w:t>(área por extenso), tudo em conformidade com memorial descritivo e a respectiva planta aprovada pela Prefeitura Municipal, devidamente registrados no Segundo Ofício de Registro de Imóveis da Comarca de Governador Valadares – Minas Gerais.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SEGUNDA – PREÇO, FORMA E LOCAL DE PAGAMENTO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Pelo presente e na melhor forma de direito, a COMPROMITENTE VENDEDORA se compromete e se obriga a vender ao (a) COMPROMISSÁRIO (A) COMPRADOR (A) e este (a) a comprar o lote de terreno retro men</w:t>
      </w:r>
      <w:r w:rsidR="00F972F7">
        <w:t>cionado, no valor de ${@valor_lote}</w:t>
      </w:r>
      <w:r>
        <w:t xml:space="preserve"> nas seguintes condições de pagamento:</w:t>
      </w:r>
    </w:p>
    <w:p w:rsidR="008A672B" w:rsidRDefault="008A672B">
      <w:pPr>
        <w:pStyle w:val="Corpodetexto"/>
        <w:spacing w:before="7"/>
      </w:pPr>
    </w:p>
    <w:p w:rsidR="00977E80" w:rsidRPr="00977E80" w:rsidRDefault="00B06DBD" w:rsidP="00977E80">
      <w:pPr>
        <w:pStyle w:val="PargrafodaLista"/>
        <w:numPr>
          <w:ilvl w:val="0"/>
          <w:numId w:val="5"/>
        </w:numPr>
        <w:tabs>
          <w:tab w:val="left" w:pos="1062"/>
        </w:tabs>
        <w:spacing w:line="247" w:lineRule="auto"/>
        <w:ind w:right="122"/>
        <w:rPr>
          <w:sz w:val="24"/>
        </w:rPr>
      </w:pPr>
      <w:r>
        <w:rPr>
          <w:sz w:val="24"/>
        </w:rPr>
        <w:t>${@simulacao</w:t>
      </w:r>
      <w:r w:rsidRPr="00F972F7">
        <w:rPr>
          <w:sz w:val="24"/>
        </w:rPr>
        <w:t>_entrada</w:t>
      </w:r>
      <w:r>
        <w:rPr>
          <w:sz w:val="24"/>
        </w:rPr>
        <w:t xml:space="preserve">}, </w:t>
      </w:r>
      <w:r w:rsidR="00456C2C">
        <w:rPr>
          <w:sz w:val="24"/>
        </w:rPr>
        <w:t>a título de sinal de pagamento, pagos nesta data e em moeda corrente, dos quais já se dá plena e integral</w:t>
      </w:r>
      <w:r w:rsidR="00456C2C">
        <w:rPr>
          <w:spacing w:val="-2"/>
          <w:sz w:val="24"/>
        </w:rPr>
        <w:t xml:space="preserve"> </w:t>
      </w:r>
      <w:r w:rsidR="00456C2C">
        <w:rPr>
          <w:sz w:val="24"/>
        </w:rPr>
        <w:t>quitação;</w:t>
      </w:r>
    </w:p>
    <w:p w:rsidR="00B422D9" w:rsidRPr="00B422D9" w:rsidRDefault="00B422D9" w:rsidP="00B422D9">
      <w:pPr>
        <w:pStyle w:val="PargrafodaLista"/>
        <w:tabs>
          <w:tab w:val="left" w:pos="1062"/>
        </w:tabs>
        <w:spacing w:line="247" w:lineRule="auto"/>
        <w:ind w:left="810" w:right="122"/>
        <w:rPr>
          <w:sz w:val="24"/>
          <w:u w:val="single"/>
        </w:rPr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96"/>
        </w:tabs>
        <w:spacing w:line="247" w:lineRule="auto"/>
        <w:rPr>
          <w:sz w:val="24"/>
        </w:rPr>
      </w:pPr>
      <w:r>
        <w:rPr>
          <w:sz w:val="24"/>
        </w:rPr>
        <w:t>${</w:t>
      </w:r>
      <w:r w:rsidR="0012231C">
        <w:rPr>
          <w:sz w:val="24"/>
        </w:rPr>
        <w:t>@</w:t>
      </w:r>
      <w:r w:rsidR="00B422D9">
        <w:rPr>
          <w:sz w:val="24"/>
        </w:rPr>
        <w:t>simulacao_qtde_parcelasFinanciamento</w:t>
      </w:r>
      <w:r>
        <w:rPr>
          <w:sz w:val="24"/>
        </w:rPr>
        <w:t>}</w:t>
      </w:r>
      <w:r w:rsidR="00977E80">
        <w:rPr>
          <w:sz w:val="24"/>
        </w:rPr>
        <w:t xml:space="preserve">   </w:t>
      </w:r>
      <w:r>
        <w:rPr>
          <w:sz w:val="24"/>
        </w:rPr>
        <w:t xml:space="preserve"> </w:t>
      </w:r>
      <w:r w:rsidR="00456C2C">
        <w:rPr>
          <w:sz w:val="24"/>
        </w:rPr>
        <w:t xml:space="preserve">parcelas mensais, no valor de </w:t>
      </w:r>
      <w:r>
        <w:rPr>
          <w:sz w:val="24"/>
        </w:rPr>
        <w:t>${</w:t>
      </w:r>
      <w:bookmarkStart w:id="0" w:name="_GoBack"/>
      <w:bookmarkEnd w:id="0"/>
      <w:r w:rsidR="005A0F83">
        <w:rPr>
          <w:sz w:val="24"/>
        </w:rPr>
        <w:t>@valor_parcela_financiamento</w:t>
      </w:r>
      <w:r>
        <w:rPr>
          <w:sz w:val="24"/>
        </w:rPr>
        <w:t>}</w:t>
      </w:r>
      <w:r w:rsidR="00977E80">
        <w:rPr>
          <w:sz w:val="24"/>
        </w:rPr>
        <w:t xml:space="preserve">  </w:t>
      </w:r>
      <w:r>
        <w:rPr>
          <w:sz w:val="24"/>
        </w:rPr>
        <w:t xml:space="preserve"> </w:t>
      </w:r>
      <w:r w:rsidR="00456C2C">
        <w:rPr>
          <w:sz w:val="24"/>
        </w:rPr>
        <w:t>cada uma, vence</w:t>
      </w:r>
      <w:r>
        <w:rPr>
          <w:sz w:val="24"/>
        </w:rPr>
        <w:t>ndo a primeira prestação no dia</w:t>
      </w:r>
      <w:r w:rsidR="00D519CB">
        <w:rPr>
          <w:sz w:val="24"/>
        </w:rPr>
        <w:t xml:space="preserve"> </w:t>
      </w:r>
      <w:r>
        <w:rPr>
          <w:sz w:val="24"/>
        </w:rPr>
        <w:t xml:space="preserve"> ${</w:t>
      </w:r>
      <w:r w:rsidRPr="00F972F7">
        <w:rPr>
          <w:sz w:val="24"/>
        </w:rPr>
        <w:t>@</w:t>
      </w:r>
      <w:r w:rsidR="005A0C08">
        <w:rPr>
          <w:sz w:val="24"/>
        </w:rPr>
        <w:t>dia_vencimento_primeira_financiamento}</w:t>
      </w:r>
      <w:r w:rsidR="00D519CB">
        <w:rPr>
          <w:sz w:val="24"/>
        </w:rPr>
        <w:t xml:space="preserve">  </w:t>
      </w:r>
      <w:r w:rsidR="00456C2C">
        <w:rPr>
          <w:sz w:val="24"/>
        </w:rPr>
        <w:t>e as demais nos mesmos dias dos meses subseqüentes, através de carnê a ser expedido pela COMPROMITENTE VENDEDORA e deverá ser paga em qualquer agência da Caixa Econômica Federal da</w:t>
      </w:r>
      <w:r w:rsidR="00456C2C">
        <w:rPr>
          <w:spacing w:val="-6"/>
          <w:sz w:val="24"/>
        </w:rPr>
        <w:t xml:space="preserve"> </w:t>
      </w:r>
      <w:r w:rsidR="00456C2C">
        <w:rPr>
          <w:sz w:val="24"/>
        </w:rPr>
        <w:t>localidade.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2" w:firstLine="719"/>
        <w:jc w:val="both"/>
      </w:pPr>
      <w:r>
        <w:rPr>
          <w:b/>
        </w:rPr>
        <w:t xml:space="preserve">Parágrafo Primeiro: </w:t>
      </w:r>
      <w:r>
        <w:t>Fica estabelecido que o reajuste das prestações às quais se faz referência nesta cláusula (alínea “</w:t>
      </w:r>
      <w:r>
        <w:rPr>
          <w:i/>
        </w:rPr>
        <w:t>b”</w:t>
      </w:r>
      <w:r>
        <w:t>) será anual, quando as parcelas serão corrigidas pela taxa referencial de juros – TR (mensal) acumulada no período retroativo de 12 (doze) meses e, sobre o</w:t>
      </w:r>
    </w:p>
    <w:p w:rsidR="008A672B" w:rsidRDefault="008A672B">
      <w:pPr>
        <w:spacing w:line="247" w:lineRule="auto"/>
        <w:jc w:val="both"/>
        <w:sectPr w:rsidR="008A672B">
          <w:footerReference w:type="default" r:id="rId7"/>
          <w:type w:val="continuous"/>
          <w:pgSz w:w="11910" w:h="16850"/>
          <w:pgMar w:top="1600" w:right="1300" w:bottom="1220" w:left="1600" w:header="720" w:footer="1038" w:gutter="0"/>
          <w:pgNumType w:start="1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9"/>
        <w:jc w:val="both"/>
      </w:pPr>
      <w:r>
        <w:lastRenderedPageBreak/>
        <w:t>valor corrigido, aplicada será a taxa fixa anual de juros de 6% (seis por cento) ao ano. No caso de extinção da TR, o índice a ser utilizado será o IGP-M publicado pela Fundação Getúlio Vargas e, na falta deste, o INPC do IBGE e, ainda, na falta do último, outro instituído pelo governo em substituição ao mesmo.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rPr>
          <w:b/>
        </w:rPr>
        <w:t xml:space="preserve">Parágrafo Segundo: </w:t>
      </w:r>
      <w:r>
        <w:t>As parcelas vincendas serão corrigidas monetariamente pelo índice retro estabelecido e pelo percentual de juros anualmente. A correção monetária das 12 (doze) primeiras parcelas observar-se-á o (a) TR divulgado (a) no mês que antecede à 13ª parcela; em relação ao reajuste da 24ª parcela observar-se-á o índice do (a) TR divulgado (a) no mês que antecede à 25ª parcela e assim sucessivamente.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rPr>
          <w:b/>
        </w:rPr>
        <w:t xml:space="preserve">Parágrafo Terceiro: </w:t>
      </w:r>
      <w:r>
        <w:t>A COMPROMITENTE VENDEDORA admite e concorda que o (a) COMPROMISSÁRIO (A) COMPRADOR (A) antecipe o pagamento das parcelas do preço retro descritas e caracterizadas, hipótese em que será facultada à COMPROMITENTE VENDEDORA a concessão de desconto sobre o valor antecipado, e desde que sejam obedecidos os seguintes critérios: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53"/>
        </w:tabs>
        <w:ind w:right="0" w:hanging="232"/>
        <w:jc w:val="both"/>
        <w:rPr>
          <w:sz w:val="24"/>
        </w:rPr>
      </w:pPr>
      <w:r>
        <w:rPr>
          <w:sz w:val="24"/>
        </w:rPr>
        <w:t>a antecipação deverá ser realizada no valor integral da</w:t>
      </w:r>
      <w:r>
        <w:rPr>
          <w:spacing w:val="-3"/>
          <w:sz w:val="24"/>
        </w:rPr>
        <w:t xml:space="preserve"> </w:t>
      </w:r>
      <w:r>
        <w:rPr>
          <w:sz w:val="24"/>
        </w:rPr>
        <w:t>parcela;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70"/>
        </w:tabs>
        <w:spacing w:before="8"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 antecipação somente será aceita, se o (a) COMPROMISSÁRIO (A) COMPRADOR (A) estiver em dia com as suas 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contratuais;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96"/>
        </w:tabs>
        <w:spacing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as parcelas antecipadas serão descontadas em ordem decrescente, ou seja, última, penúltima, antepenúltima, e assim sucessivamente, diminuindo, assim, o número total de parcelas do contrato, continuando o (a) COMPROMISSÁRIO (A) COMPRADOR (A) quitando, mensal e normalmente, as demais</w:t>
      </w:r>
      <w:r>
        <w:rPr>
          <w:spacing w:val="-4"/>
          <w:sz w:val="24"/>
        </w:rPr>
        <w:t xml:space="preserve"> </w:t>
      </w:r>
      <w:r>
        <w:rPr>
          <w:sz w:val="24"/>
        </w:rPr>
        <w:t>parcelas.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TERCEIRA – POSSE DO IMÓVEL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(A) COMPRADOR (A) entra desde logo na posse precária do lote objeto deste instrumento, na qual será mantido até e enquanto bem e fielmente cumprir as cláusulas e condições ora estabelecidas.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5" w:firstLine="719"/>
        <w:jc w:val="both"/>
      </w:pPr>
      <w:r>
        <w:rPr>
          <w:b/>
        </w:rPr>
        <w:t xml:space="preserve">Parágrafo Primeiro: </w:t>
      </w:r>
      <w:r>
        <w:t>O (a) COMPROMISSÁRIO (A) COMPRADOR (A), somente poderá edificar no imóvel objeto do presente instrumento, observadas as seguintes condições:</w:t>
      </w:r>
    </w:p>
    <w:p w:rsidR="008A672B" w:rsidRDefault="008A672B">
      <w:pPr>
        <w:pStyle w:val="Corpodetexto"/>
        <w:spacing w:before="8"/>
      </w:pP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062"/>
        </w:tabs>
        <w:spacing w:line="247" w:lineRule="auto"/>
        <w:ind w:right="112" w:firstLine="719"/>
        <w:jc w:val="both"/>
        <w:rPr>
          <w:sz w:val="24"/>
        </w:rPr>
      </w:pPr>
      <w:r>
        <w:rPr>
          <w:sz w:val="24"/>
        </w:rPr>
        <w:t>Após 36 (trinta e seis) meses da assinatura do contrato particular de compra e venda, a que se destina a realização de todas as obras de infra-estrutura, que compete à  COMPROMITENTE VENDEDORA e que se encontra previsto no Projeto de Aprovação do Loteamento com o Município;</w:t>
      </w: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175"/>
        </w:tabs>
        <w:spacing w:line="247" w:lineRule="auto"/>
        <w:ind w:right="117" w:firstLine="719"/>
        <w:jc w:val="both"/>
        <w:rPr>
          <w:sz w:val="24"/>
        </w:rPr>
      </w:pPr>
      <w:r>
        <w:rPr>
          <w:sz w:val="24"/>
        </w:rPr>
        <w:t>Estar rigorosamente em dia com o pagamento de suas prestações junto à COMPROMITENTE VENDEDORA; e ter efetuado o pagamento de 30% (trinta por cento) das parcelas de financiamento para aquisição do bem objeto desse</w:t>
      </w:r>
      <w:r>
        <w:rPr>
          <w:spacing w:val="-3"/>
          <w:sz w:val="24"/>
        </w:rPr>
        <w:t xml:space="preserve"> </w:t>
      </w:r>
      <w:r>
        <w:rPr>
          <w:sz w:val="24"/>
        </w:rPr>
        <w:t>contrato.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Segundo: </w:t>
      </w:r>
      <w:r>
        <w:t>No caso de o (a) COMPROMISSÁRIO (A) COMPRADOR (A) construir no lote objeto desta compra e venda, o (a) mesmo (a) dá em garantia do valor da dívida contraída junto à COMPROMITENTE VENDEDORA, sem concorrência, em primeira, única e especial hipoteca, o referido imóvel edificado no</w:t>
      </w:r>
      <w:r>
        <w:rPr>
          <w:spacing w:val="-3"/>
        </w:rPr>
        <w:t xml:space="preserve"> </w:t>
      </w:r>
      <w:r>
        <w:t>lote.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  <w:rPr>
          <w:b/>
        </w:rPr>
      </w:pPr>
      <w:r>
        <w:rPr>
          <w:b/>
        </w:rPr>
        <w:lastRenderedPageBreak/>
        <w:t xml:space="preserve">Parágrafo Terceiro: </w:t>
      </w:r>
      <w:r>
        <w:t xml:space="preserve">Na hipótese de inadimplência do (a) COMPROMISSÁRIO (A) COMPRADOR (A), e o (a) mesmo (a) já tiver construído qualquer benfeitoria no lote, este (a) será notificado (a) a quitar seu débito, sob pena da referida dívida ser considerada vencida em sua totalidade, ou seja, todas as demais parcelas restantes serão consideradas vencidas, ficando, ainda, </w:t>
      </w:r>
      <w:r>
        <w:rPr>
          <w:b/>
        </w:rPr>
        <w:t>sem nenhum direito de retenção, compensação ou</w:t>
      </w:r>
      <w:r>
        <w:rPr>
          <w:b/>
          <w:spacing w:val="-1"/>
        </w:rPr>
        <w:t xml:space="preserve"> </w:t>
      </w:r>
      <w:r>
        <w:rPr>
          <w:b/>
        </w:rPr>
        <w:t>indenização.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Quarto: </w:t>
      </w:r>
      <w:r>
        <w:t>Transcorrido o prazo a que alude o Parágrafo Primeiro, que se destina  à execução de obras de infra-estrutura, estará o (a) COMPROMISSÁRIO (A) COMPRADOR (A) facultado (a) a edificar no lote que lhe é prometido mediante comunicação escrita à COMPROMITENTE VENDEDORA e esta conferirá carta liberatória em até 15 (quinze) dias, sob pena do (a) COMPROMISSÁRIO (A) COMPRADOR (A) ser multado em 2% (dois por cento) do valor deste contrato. A exigência de comunicação do (a) COMPROMISSÁRIO (A)</w:t>
      </w:r>
      <w:r>
        <w:rPr>
          <w:spacing w:val="-6"/>
        </w:rPr>
        <w:t xml:space="preserve"> </w:t>
      </w:r>
      <w:r>
        <w:t>COMPRADOR</w:t>
      </w:r>
    </w:p>
    <w:p w:rsidR="008A672B" w:rsidRDefault="00456C2C">
      <w:pPr>
        <w:pStyle w:val="Corpodetexto"/>
        <w:spacing w:line="247" w:lineRule="auto"/>
        <w:ind w:left="102"/>
      </w:pPr>
      <w:r>
        <w:t>(A) é para averiguar se o padrão das construções está sendo respeitado e se o mesmo encontra-se aprovado pela Prefeitura Municipal de Periquito/MG.</w:t>
      </w:r>
    </w:p>
    <w:p w:rsidR="008A672B" w:rsidRDefault="008A672B">
      <w:pPr>
        <w:pStyle w:val="Corpodetexto"/>
        <w:spacing w:before="11"/>
        <w:rPr>
          <w:sz w:val="23"/>
        </w:rPr>
      </w:pPr>
    </w:p>
    <w:p w:rsidR="008A672B" w:rsidRDefault="00456C2C">
      <w:pPr>
        <w:pStyle w:val="Ttulo1"/>
      </w:pPr>
      <w:r>
        <w:t>CLÁUSULA QUARTA – OBRIGAÇÕES DA COMPROMITENTE VENDEDORA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A COMPROMITENTE VENDEDORA se obriga a executar as seguintes benfeitorias no perímetro interno do loteamento: abertura de ruas, demarcação de quadras e lotes, rede de esgoto sanitário, tratamento de esgoto, rede de água, rede de drenagem pluvial, rede de energia elétrica, pavimentação e todas as áreas comuns (guarita, fechamento do condomínio com muro de bloco de concreto, salão de festa, academia, salão de jogos, áreas de churrasqueiras, piscina, desembarque para lanchas e Jet Ski, praças gramadas), conforme compromisso assumido perante a Prefeitura Municipal de Periquito/MG, no prazo de 36 (trinta e seis meses) podendo, caso seja necessário, prorrogar-se por mais 12 (doze) meses.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rPr>
          <w:b/>
        </w:rPr>
        <w:t xml:space="preserve">Parágrafo Único: </w:t>
      </w:r>
      <w:r>
        <w:t>Os parâmetros de ocupação dos lotes deverão estar em conformidade com a Lei de Uso e Ocupação do Solo do Município de Periquito/MG.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  <w:spacing w:before="1"/>
      </w:pPr>
      <w:r>
        <w:t>CLÁUSULA QUINTA – IMPOSTOS, TAXAS E CONTRIBUIÇÕES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Todos os impostos, taxas e demais contribuições que incidem, ou venham a incidir sobre o lote objeto deste contrato, correrão, desta data em diante, por conta exclusiva do (a) COMPROMISSÁRIO (A) COMPRADOR (A) que fica obrigado (a) a efetuar o respectivo pagamento, na época própria e nas repartições competentes, mesmo que lançadas em nome da COMPROMITENTE VENDEDORA, ou de seus antecessores.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before="1" w:line="247" w:lineRule="auto"/>
        <w:ind w:left="102" w:right="110" w:firstLine="719"/>
        <w:jc w:val="both"/>
      </w:pPr>
      <w:r>
        <w:rPr>
          <w:b/>
        </w:rPr>
        <w:t xml:space="preserve">Parágrafo Único: </w:t>
      </w:r>
      <w:r>
        <w:t>Fica esclarecido que o IPTU deste ano, quando o (a) COMPROMISSÁRIO (A) COMPRADOR (A) adquire a posse precária do lote, ficará a cargo do (a) mesmo (a), em sua devida proporcionalidade.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SEXTA – DA ESCRITURA DEFINITIVA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Uma vez pagas as parcelas do preço ajustado previstas na Segunda Cláusula deste contrato, e cumpridas todas as demais Cláusulas e condições ora estabelecidas, o (a) COMPROMISSÁRIO (A) COMPRADOR (A) poderá pedir para si a escritura definitiva de compra e venda do lote objeto do presente, o que deverá ocorrer em até 90 (noventa) dias subseqüentes à data da respectiva liquidação.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</w:pPr>
      <w:r>
        <w:rPr>
          <w:b/>
        </w:rPr>
        <w:lastRenderedPageBreak/>
        <w:t xml:space="preserve">Parágrafo Único: </w:t>
      </w:r>
      <w:r>
        <w:t>Vencido o prazo de 90 (noventa) dias, se o (a) COMPROMISSÁRIO (A) COMPRADOR (A) não tiver solicitado a escritura definitiva, a COMPROMITENTE VENDEDORA cobrará uma taxa para suprir despesas de deslocamento, veículo, diárias, para a assinatura da mesma.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SÉTIMA – DESPESAS CONTRATUAIS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t>Todas as despesas decorrentes deste contrato e da escritura definitiva de compra e venda, tais como Imposto de Transmissão “Inter Vivos”, inscrição, transcrição, averbação e outras, correrão por conta exclusiva do (a) COMPROMISSÁRIO (A) COMPRADOR (A).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OITAVA – DA RESCISÃO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 xml:space="preserve">Vencida e não pagas duas (02) parcelas sucessivas, previstas na Cláusula Segunda, será  o (a) COMPROMISSÁRIO (A) COMPRADOR (A) notificado (a) judicial ou extrajudicialmente, a requerimento da COMPROMITENTE VENDEDORA, a satisfazer dentro do prazo de 30 (trinta) dias contados do recebimento </w:t>
      </w:r>
      <w:r>
        <w:rPr>
          <w:spacing w:val="2"/>
        </w:rPr>
        <w:t xml:space="preserve">da </w:t>
      </w:r>
      <w:r>
        <w:t>notificação, as parcelas vencidas e custas de notificação. Vencido o prazo da notificação sem que as parcelas sejam quitadas, o presente contrato ficará rescindido de pleno direito, independentemente de qualquer outro aviso, notificação ou interpelação judicial ou extrajudicial,</w:t>
      </w:r>
      <w:r>
        <w:rPr>
          <w:spacing w:val="22"/>
        </w:rPr>
        <w:t xml:space="preserve"> </w:t>
      </w:r>
      <w:r>
        <w:t>uma</w:t>
      </w:r>
      <w:r>
        <w:rPr>
          <w:spacing w:val="22"/>
        </w:rPr>
        <w:t xml:space="preserve"> </w:t>
      </w:r>
      <w:r>
        <w:t>vez</w:t>
      </w:r>
      <w:r>
        <w:rPr>
          <w:spacing w:val="22"/>
        </w:rPr>
        <w:t xml:space="preserve"> </w:t>
      </w:r>
      <w:r>
        <w:t>que,</w:t>
      </w:r>
      <w:r>
        <w:rPr>
          <w:spacing w:val="23"/>
        </w:rPr>
        <w:t xml:space="preserve"> </w:t>
      </w:r>
      <w:r>
        <w:t>estará</w:t>
      </w:r>
      <w:r>
        <w:rPr>
          <w:spacing w:val="22"/>
        </w:rPr>
        <w:t xml:space="preserve"> </w:t>
      </w:r>
      <w:r>
        <w:t>caracterizada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constituída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mora</w:t>
      </w:r>
      <w:r>
        <w:rPr>
          <w:spacing w:val="2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(a)</w:t>
      </w:r>
      <w:r>
        <w:rPr>
          <w:spacing w:val="19"/>
        </w:rPr>
        <w:t xml:space="preserve"> </w:t>
      </w:r>
      <w:r>
        <w:t>COMPROMISSÁRIO</w:t>
      </w:r>
    </w:p>
    <w:p w:rsidR="008A672B" w:rsidRDefault="00456C2C">
      <w:pPr>
        <w:pStyle w:val="PargrafodaLista"/>
        <w:numPr>
          <w:ilvl w:val="0"/>
          <w:numId w:val="2"/>
        </w:numPr>
        <w:tabs>
          <w:tab w:val="left" w:pos="420"/>
        </w:tabs>
        <w:spacing w:line="272" w:lineRule="exact"/>
        <w:ind w:right="0"/>
        <w:rPr>
          <w:sz w:val="24"/>
        </w:rPr>
      </w:pPr>
      <w:r>
        <w:rPr>
          <w:sz w:val="24"/>
        </w:rPr>
        <w:t>COMPRADOR</w:t>
      </w:r>
      <w:r>
        <w:rPr>
          <w:spacing w:val="-1"/>
          <w:sz w:val="24"/>
        </w:rPr>
        <w:t xml:space="preserve"> </w:t>
      </w:r>
      <w:r>
        <w:rPr>
          <w:sz w:val="24"/>
        </w:rPr>
        <w:t>(A).</w:t>
      </w:r>
    </w:p>
    <w:p w:rsidR="008A672B" w:rsidRDefault="008A672B">
      <w:pPr>
        <w:pStyle w:val="Corpodetexto"/>
        <w:spacing w:before="4"/>
        <w:rPr>
          <w:sz w:val="25"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Primeiro: </w:t>
      </w:r>
      <w:r>
        <w:t>Fica estabelecido que em caso de rescisão contratual em decorrência de inadimplência ou de descumprimento de quaisquer das cláusulas previstas neste instrumento, a COMPROMITENTE VENDEDORA se compromete a devolver ao (a) COMPROMISSÁRIO (A) COMPRADOR (A) o valor correspondente: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58"/>
        </w:tabs>
        <w:spacing w:before="1" w:line="247" w:lineRule="auto"/>
        <w:ind w:left="821" w:right="125" w:firstLine="0"/>
        <w:rPr>
          <w:sz w:val="24"/>
        </w:rPr>
      </w:pPr>
      <w:r>
        <w:rPr>
          <w:sz w:val="24"/>
        </w:rPr>
        <w:t>10% (Dez Por Cento) de todas as importâncias até então pagas por conta do preço se já houver pago até 20% do preço</w:t>
      </w:r>
      <w:r>
        <w:rPr>
          <w:spacing w:val="-2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72"/>
        </w:tabs>
        <w:spacing w:line="247" w:lineRule="auto"/>
        <w:ind w:left="821" w:right="127" w:firstLine="0"/>
        <w:rPr>
          <w:sz w:val="24"/>
        </w:rPr>
      </w:pPr>
      <w:r>
        <w:rPr>
          <w:sz w:val="24"/>
        </w:rPr>
        <w:t>20% (Vinte Por Cento) de todas as importâncias até então pagas por conta do preço se já houver pago entre 20,01% e 50%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0"/>
        </w:tabs>
        <w:spacing w:line="247" w:lineRule="auto"/>
        <w:ind w:left="821" w:firstLine="0"/>
        <w:rPr>
          <w:sz w:val="24"/>
        </w:rPr>
      </w:pPr>
      <w:r>
        <w:rPr>
          <w:sz w:val="24"/>
        </w:rPr>
        <w:t xml:space="preserve">30% (Trinta Por Cento) de todas as importâncias até então pagas por conta do </w:t>
      </w:r>
      <w:r>
        <w:rPr>
          <w:spacing w:val="2"/>
          <w:sz w:val="24"/>
        </w:rPr>
        <w:t xml:space="preserve">preço </w:t>
      </w:r>
      <w:r>
        <w:rPr>
          <w:sz w:val="24"/>
        </w:rPr>
        <w:t>se já houver pago entre 50,01% e 75%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7"/>
        </w:tabs>
        <w:spacing w:line="247" w:lineRule="auto"/>
        <w:ind w:left="821" w:right="126" w:firstLine="0"/>
        <w:rPr>
          <w:sz w:val="24"/>
        </w:rPr>
      </w:pPr>
      <w:r>
        <w:rPr>
          <w:sz w:val="24"/>
        </w:rPr>
        <w:t>40% (Quarenta Por Cento) de todas as importâncias até então pagas por conta do preço se já houver pago acima de 75,01% do preço</w:t>
      </w:r>
      <w:r>
        <w:rPr>
          <w:spacing w:val="-4"/>
          <w:sz w:val="24"/>
        </w:rPr>
        <w:t xml:space="preserve"> </w:t>
      </w:r>
      <w:r>
        <w:rPr>
          <w:sz w:val="24"/>
        </w:rPr>
        <w:t>total;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spacing w:line="244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A COMPROMITENTE VENDEDORA será imediatamente reintegrada na posse do lote,  sem direito do (a) COMPROMISSÁRIO (A) COMPRADOR (A) </w:t>
      </w:r>
      <w:r>
        <w:rPr>
          <w:b/>
          <w:sz w:val="24"/>
        </w:rPr>
        <w:t>a qualquer indenização, compensação e retenção.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9" w:firstLine="719"/>
        <w:jc w:val="both"/>
      </w:pPr>
      <w:r>
        <w:rPr>
          <w:b/>
        </w:rPr>
        <w:t xml:space="preserve">Parágrafo Segundo: </w:t>
      </w:r>
      <w:r>
        <w:t>A devolução será apenas das prestações, não computando os juros e correção monetária, excluindo-se, assim, a entrada ou sinal de pagamento, uma vez que a mesma  é referente às seguintes despesas: comissão do corretor de imóveis, transporte para conhecimento do lote, honorários de advogado para elaboração do contrato, publicidade e demais despesas administrativas.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8" w:firstLine="719"/>
        <w:jc w:val="both"/>
      </w:pPr>
      <w:r>
        <w:rPr>
          <w:b/>
        </w:rPr>
        <w:t xml:space="preserve">Parágrafo Terceiro: </w:t>
      </w:r>
      <w:r>
        <w:t>Poderá a COMPROMITENTE VENDEDORA, em não comparecendo  o (a) COMPROMISSÁRIO</w:t>
      </w:r>
      <w:r>
        <w:rPr>
          <w:spacing w:val="14"/>
        </w:rPr>
        <w:t xml:space="preserve"> </w:t>
      </w:r>
      <w:r>
        <w:t>(A) COMPRADOR (A) para a assinatura do termo de rescisão contratual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/>
        <w:jc w:val="both"/>
      </w:pPr>
      <w:r>
        <w:lastRenderedPageBreak/>
        <w:t>e recebimento das parcelas a que farão jus, depositá-las em conta judicial a disposição do (a) COMPROMISSÁRIO (A) COMPRADOR (A) e, requerer a rescisão compulsória do presente instrumento.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ind w:left="821"/>
        <w:rPr>
          <w:sz w:val="24"/>
        </w:rPr>
      </w:pPr>
      <w:r>
        <w:rPr>
          <w:b/>
          <w:sz w:val="24"/>
        </w:rPr>
        <w:t xml:space="preserve">Parágrafo Quarto: </w:t>
      </w:r>
      <w:r>
        <w:rPr>
          <w:sz w:val="24"/>
        </w:rPr>
        <w:t>Fica estabelecido que se o (a) COMPROMISSÁRIO (A) COMPRADOR</w:t>
      </w:r>
    </w:p>
    <w:p w:rsidR="008A672B" w:rsidRDefault="00456C2C">
      <w:pPr>
        <w:pStyle w:val="PargrafodaLista"/>
        <w:numPr>
          <w:ilvl w:val="0"/>
          <w:numId w:val="1"/>
        </w:numPr>
        <w:tabs>
          <w:tab w:val="left" w:pos="441"/>
        </w:tabs>
        <w:spacing w:before="8" w:line="24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estiver ausente da cidade, ou se for domiciliado em outra cidade, a notificação para que </w:t>
      </w:r>
      <w:r>
        <w:rPr>
          <w:spacing w:val="3"/>
          <w:sz w:val="24"/>
        </w:rPr>
        <w:t xml:space="preserve">seja </w:t>
      </w:r>
      <w:r>
        <w:rPr>
          <w:sz w:val="24"/>
        </w:rPr>
        <w:t>constituído em mora poderá ser feita por edital do Oficial de Registro de Imóveis ou qualquer outro órgão competente, desde que o respectivo endereço (s) seja (m) ignorado</w:t>
      </w:r>
      <w:r>
        <w:rPr>
          <w:spacing w:val="7"/>
          <w:sz w:val="24"/>
        </w:rPr>
        <w:t xml:space="preserve"> </w:t>
      </w:r>
      <w:r>
        <w:rPr>
          <w:sz w:val="24"/>
        </w:rPr>
        <w:t>(s).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rPr>
          <w:b/>
        </w:rPr>
        <w:t xml:space="preserve">Parágrafo Quinto: </w:t>
      </w:r>
      <w:r>
        <w:t>Se o (a) COMPROMISSÁRIO (A) COMPRADOR (A) tiver o seu contrato rescindido em virtude de descumprimento de qualquer outra cláusula deste contrato, arrependimento, inadimplência e/ou se for de seu próprio interesse e ou o causador da rescisão contratual, arcará com o pagamento no percentual de 1% (um por cento) do valor do imóvel, por mês, a título de indenização pela fruição deste bem, a partir da imissão na sua posse, até a reintegração efetiva do lote.</w:t>
      </w:r>
    </w:p>
    <w:p w:rsidR="008A672B" w:rsidRDefault="008A672B">
      <w:pPr>
        <w:pStyle w:val="Corpodetexto"/>
      </w:pPr>
    </w:p>
    <w:p w:rsidR="008A672B" w:rsidRDefault="00456C2C">
      <w:pPr>
        <w:pStyle w:val="Ttulo1"/>
        <w:spacing w:before="1"/>
      </w:pPr>
      <w:r>
        <w:t>CLÁUSULA NONA – DO CONHECIMENTO DO IMÓVEL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Declara o (a) COMPROMISSÁRIO (A) COMPRADOR (A) para os fins de direito, conhecer “in loco” o imóvel objeto deste, sua existência, sua localização e sua configuração precária da topografia, motivo pelo qual adquire sem nenhuma dúvida quanto à descrição exata do imóvel.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– DO EQUILÍBRIO FINANCEIRO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Ocorrendo no País choques ou planos econômicos, que levem a desestabilização da economia ou hiperinflação, afetando, assim, qualquer das cláusulas deste contrato, não poderá o mesmo ser rescindido, e as partes envolvidas neste contrato se comprometem a reavaliar e alterar, se necessário, montantes devidos, prazos e formas de pagamento, de tal maneira que se mantenha o equilíbrio econômico neste contrato, condição absoluta de sua validade. Se for necessária revisão de preço, será utilizado o índice que melhor reflita efetivamente a perda do poder aquisitivo da moeda nacional, a fim de devolver o equilíbrio econômico financeiro deste contrato.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PRIMEIRA – DA</w:t>
      </w:r>
      <w:r>
        <w:rPr>
          <w:spacing w:val="-7"/>
        </w:rPr>
        <w:t xml:space="preserve"> </w:t>
      </w:r>
      <w:r>
        <w:t>SUCESSÃO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25" w:firstLine="719"/>
        <w:jc w:val="both"/>
      </w:pPr>
      <w:r>
        <w:t>O presente contrato obriga em todas as suas cláusulas e condições, não só as partes contratantes, como também os seus herdeiros e</w:t>
      </w:r>
      <w:r>
        <w:rPr>
          <w:spacing w:val="-4"/>
        </w:rPr>
        <w:t xml:space="preserve"> </w:t>
      </w:r>
      <w:r>
        <w:t>sucessores.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SEGUNDA – DOS ENCARGOS DE INADIMPLÊNCIA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>O (a) COMPROMISSÁRIO (A) COMPRADOR (A), caso fique inadimplente, sujeitar-se-á à correção monetária pelo índice contratualmente estabelecido, multa de 02% (dois por cento), juros de mora de 01% (hum por cento) ao mês e/ou pró-rata dia, sem prejuízo de a COMPROMITENTE VENDEDORA poder rescindir este contrato, nos termos da Cláusula Oitava.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Único: </w:t>
      </w:r>
      <w:r>
        <w:t>O eventual recebimento de prestações em atraso não constitui alteração ou novação contratual, mas, apenas um ato de tolerância por parte da COMPROMITENTE VENDEDORA.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TERCEIRA – DA TRANSFERÊNCIA OU 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O (a) COMPROMISSÁRIO (A) COMPRADOR (A) poderá ceder ou transferir, a terceiros, os direitos e obrigações decorrentes deste contrato, mediante prévio e expresso consentimento - por escrito - da COMPROMITENTE VENDEDORA, desde que esteja em dia no cumprimento de suas obrigações, sendo cobrado do (a) mesmo (a), nessa ocasião, taxa administrativa, a ser  estabelecida na oportunidade, responsável pelas despesas cadastrais, pesquisa, consultas e  outras.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QUARTA – DO ENDEREÇO RESIDENCIAL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(a) COMPROMISSÁRIO (A) COMPRADOR (A), para resguardo de seus direitos, fica obrigado (a) a comunicar à COMPROMITENTE VENDEDORA por escrito, anualmente, o </w:t>
      </w:r>
      <w:r>
        <w:rPr>
          <w:b/>
        </w:rPr>
        <w:t xml:space="preserve">seu endereço residencial </w:t>
      </w:r>
      <w:r>
        <w:t>para fins de envio de correspondência.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QUINTA - DA QUITAÇÃO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A quitação integral do preço total do presente contrato deverá ser dada exclusivamente  pela COMPROMITENTE VENDEDORA, através do documento intitulado DECLARAÇÃO DE QUITAÇÃO DE LOTE, ficando estipulado que a citada quitação só ocorrerá se, após a aplicação dos reajustes previstos contratualmente, não se apurar nenhum saldo devedor por parte do (a) COMPROMISSÁRIO (A) COMPRADOR (A). As parcelas deverão ter sido pagas em seus vencimentos,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forma</w:t>
      </w:r>
      <w:r>
        <w:rPr>
          <w:spacing w:val="21"/>
        </w:rPr>
        <w:t xml:space="preserve"> </w:t>
      </w:r>
      <w:r>
        <w:t>que,</w:t>
      </w:r>
      <w:r>
        <w:rPr>
          <w:spacing w:val="21"/>
        </w:rPr>
        <w:t xml:space="preserve"> </w:t>
      </w:r>
      <w:r>
        <w:t>havendo</w:t>
      </w:r>
      <w:r>
        <w:rPr>
          <w:spacing w:val="21"/>
        </w:rPr>
        <w:t xml:space="preserve"> </w:t>
      </w:r>
      <w:r>
        <w:t>pagamento</w:t>
      </w:r>
      <w:r>
        <w:rPr>
          <w:spacing w:val="22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atraso,</w:t>
      </w:r>
      <w:r>
        <w:rPr>
          <w:spacing w:val="21"/>
        </w:rPr>
        <w:t xml:space="preserve"> </w:t>
      </w:r>
      <w:r>
        <w:t>remanescerá</w:t>
      </w:r>
      <w:r>
        <w:rPr>
          <w:spacing w:val="21"/>
        </w:rPr>
        <w:t xml:space="preserve"> </w:t>
      </w:r>
      <w:r>
        <w:t>débito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ser</w:t>
      </w:r>
      <w:r>
        <w:rPr>
          <w:spacing w:val="17"/>
        </w:rPr>
        <w:t xml:space="preserve"> </w:t>
      </w:r>
      <w:r>
        <w:t>pago</w:t>
      </w:r>
      <w:r>
        <w:rPr>
          <w:spacing w:val="19"/>
        </w:rPr>
        <w:t xml:space="preserve"> </w:t>
      </w:r>
      <w:r>
        <w:t>pelo</w:t>
      </w:r>
    </w:p>
    <w:p w:rsidR="008A672B" w:rsidRDefault="00456C2C">
      <w:pPr>
        <w:pStyle w:val="PargrafodaLista"/>
        <w:numPr>
          <w:ilvl w:val="1"/>
          <w:numId w:val="1"/>
        </w:numPr>
        <w:tabs>
          <w:tab w:val="left" w:pos="400"/>
        </w:tabs>
        <w:spacing w:line="247" w:lineRule="auto"/>
        <w:ind w:firstLine="0"/>
        <w:rPr>
          <w:sz w:val="24"/>
        </w:rPr>
      </w:pPr>
      <w:r>
        <w:rPr>
          <w:sz w:val="24"/>
        </w:rPr>
        <w:t>COMPROMISSÁRIO (A) COMPRADOR (A). Outrossim, deverão ser pagas todas as parcelas do preço em sua</w:t>
      </w:r>
      <w:r>
        <w:rPr>
          <w:spacing w:val="-1"/>
          <w:sz w:val="24"/>
        </w:rPr>
        <w:t xml:space="preserve"> </w:t>
      </w:r>
      <w:r>
        <w:rPr>
          <w:sz w:val="24"/>
        </w:rPr>
        <w:t>totalidade.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3" w:firstLine="719"/>
        <w:jc w:val="both"/>
      </w:pPr>
      <w:r>
        <w:rPr>
          <w:b/>
        </w:rPr>
        <w:t xml:space="preserve">Parágrafo Primeiro: </w:t>
      </w:r>
      <w:r>
        <w:t xml:space="preserve">A quitação do contrato e o fornecimento da competente DECLARAÇÃO DE QUITAÇÃO DE LOTE ficarão condicionados ao pagamento de todas as parcelas do financiamento, bem como do pagamento de todas as </w:t>
      </w:r>
      <w:r>
        <w:rPr>
          <w:spacing w:val="2"/>
        </w:rPr>
        <w:t xml:space="preserve">taxas </w:t>
      </w:r>
      <w:r>
        <w:t xml:space="preserve">e impostos municipais. Se porventura tenha a COMPROMITENTE VENDEDORA efetuado o pagamento de IPTU, TAXAS ou ENCARGOS de responsabilidade do (a) COMPROMISSÁRIO (A) COMPRADOR (A), este deverá ressarcir os valores pagos à COMPROMITENTE VENDEDORA, sob pena </w:t>
      </w:r>
      <w:r>
        <w:rPr>
          <w:spacing w:val="4"/>
        </w:rPr>
        <w:t xml:space="preserve">de </w:t>
      </w:r>
      <w:r>
        <w:t>não ser expedida a referida Declaração de</w:t>
      </w:r>
      <w:r>
        <w:rPr>
          <w:spacing w:val="3"/>
        </w:rPr>
        <w:t xml:space="preserve"> </w:t>
      </w:r>
      <w:r>
        <w:t>Quitação.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Segundo: </w:t>
      </w:r>
      <w:r>
        <w:t>A escritura definitiva somente será assinada pela COMPROMITENTE VENDEDORA com a apresentação ao Cartório de Notas do documento intitulado DECLARAÇÃO DE QUITAÇÃO DE LOTE.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  <w:spacing w:before="1" w:line="242" w:lineRule="auto"/>
        <w:ind w:left="102" w:right="114" w:firstLine="719"/>
        <w:jc w:val="both"/>
      </w:pPr>
      <w:r>
        <w:t>CLÁUSULA DÉCIMA SEXTA – DO CONHECIMENTO DA CONVENÇÃO DE CONDOMÍNIO</w:t>
      </w:r>
    </w:p>
    <w:p w:rsidR="008A672B" w:rsidRDefault="008A672B">
      <w:pPr>
        <w:pStyle w:val="Corpodetexto"/>
        <w:spacing w:before="8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 A) COMPRADOR (A) declara ter conhecimento da Convenção de Condomínio “Porto do Sol Condomínio Náutico” e se obriga a cumprir as cláusulas e condições nela estabelecidas.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SÉTIMA – DA IRREVOGABILIDADE E IRRETRATABILIDADE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presente contrato é composto de cláusulas e parágrafos e representa o entendimento havido entre as partes, ficando sem efeito qualquer outro documento, proposta de compra e venda, pré-contrato ou correspondência entre as partes havidos antes da data de assinatura deste. Igualmente, eventual declaração de nulidade ou invalidade de qualquer das cláusulas ou  parágrafos aqui estipulados não anula o contrato como um todo, sendo válidas e exeqüíveis </w:t>
      </w:r>
      <w:r>
        <w:rPr>
          <w:spacing w:val="3"/>
        </w:rPr>
        <w:t xml:space="preserve">todas </w:t>
      </w:r>
      <w:r>
        <w:t>as demais condições e obrigações avençadas; Não podendo qualquer dos contratantes alegar o direito de arrependimento, sendo este instrumento celebrado em caráter irrevogável e</w:t>
      </w:r>
      <w:r>
        <w:rPr>
          <w:spacing w:val="-17"/>
        </w:rPr>
        <w:t xml:space="preserve"> </w:t>
      </w:r>
      <w:r>
        <w:t>irretratável.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4" w:firstLine="719"/>
        <w:jc w:val="both"/>
      </w:pPr>
      <w:r>
        <w:t>Elegem as partes o foro da comarca de Governador Valadares/MG, para a solução de qualquer litígio entre os contratantes, com expressa renúncia de qualquer outro, por mais privilegiado que</w:t>
      </w:r>
      <w:r>
        <w:rPr>
          <w:spacing w:val="-1"/>
        </w:rPr>
        <w:t xml:space="preserve"> </w:t>
      </w:r>
      <w:r>
        <w:t>seja.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22" w:firstLine="719"/>
        <w:jc w:val="both"/>
      </w:pPr>
      <w:r>
        <w:t>E por acharem assim justas e contratadas, ambas as partes, firmam o presente contrato em 02 (duas) vias de igual teor, na presença de duas testemunhas.</w:t>
      </w: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C5318">
      <w:pPr>
        <w:pStyle w:val="Corpodetexto"/>
        <w:spacing w:before="168"/>
        <w:ind w:left="1651" w:right="1663"/>
        <w:jc w:val="center"/>
      </w:pPr>
      <w:r>
        <w:t>Periquito/MG, ${@dia_contrato} de ${@mes_contrato} de ${@ano_contrato}</w:t>
      </w:r>
      <w:r w:rsidR="00456C2C">
        <w:t>.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C5318">
      <w:pPr>
        <w:pStyle w:val="Corpodetexto"/>
        <w:spacing w:before="2"/>
        <w:rPr>
          <w:sz w:val="17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153670</wp:posOffset>
                </wp:positionV>
                <wp:extent cx="33655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3589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2.1pt" to="437.3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AIMHQIAAEEEAAAOAAAAZHJzL2Uyb0RvYy54bWysU8GO2jAQvVfqP1i+QxIILBs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pStyle w:val="Ttulo1"/>
        <w:spacing w:line="270" w:lineRule="exact"/>
        <w:ind w:left="1651" w:right="1660"/>
        <w:jc w:val="center"/>
      </w:pPr>
      <w:r>
        <w:t>COMPROMISSÁRIO (A) COMPRADOR (A)</w:t>
      </w:r>
    </w:p>
    <w:p w:rsidR="008C5318" w:rsidRPr="008C5318" w:rsidRDefault="008C5318">
      <w:pPr>
        <w:pStyle w:val="Ttulo1"/>
        <w:spacing w:line="270" w:lineRule="exact"/>
        <w:ind w:left="1651" w:right="1660"/>
        <w:jc w:val="center"/>
        <w:rPr>
          <w:b w:val="0"/>
        </w:rPr>
      </w:pPr>
      <w:r w:rsidRPr="008C5318">
        <w:rPr>
          <w:b w:val="0"/>
        </w:rPr>
        <w:t>${@nome_cli}</w:t>
      </w: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C5318">
      <w:pPr>
        <w:pStyle w:val="Corpodetexto"/>
        <w:spacing w:before="8"/>
        <w:rPr>
          <w:b/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150495</wp:posOffset>
                </wp:positionV>
                <wp:extent cx="33655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77D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1.85pt" to="43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spacing w:line="271" w:lineRule="exact"/>
        <w:ind w:left="1651" w:right="1661"/>
        <w:jc w:val="center"/>
        <w:rPr>
          <w:b/>
          <w:sz w:val="24"/>
        </w:rPr>
      </w:pPr>
      <w:r>
        <w:rPr>
          <w:b/>
          <w:sz w:val="24"/>
        </w:rPr>
        <w:t>COMPROMITENTE VENDEDORA</w:t>
      </w:r>
    </w:p>
    <w:p w:rsidR="008A672B" w:rsidRDefault="00456C2C">
      <w:pPr>
        <w:pStyle w:val="Corpodetexto"/>
        <w:spacing w:before="8"/>
        <w:ind w:left="1651" w:right="1664"/>
        <w:jc w:val="center"/>
      </w:pPr>
      <w:r>
        <w:t>PORTO BAGUARI EMPREENDIMENTOS IMOBILIÁRIOS LTDA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3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sectPr w:rsidR="008A672B">
      <w:pgSz w:w="11910" w:h="16850"/>
      <w:pgMar w:top="1600" w:right="1300" w:bottom="1220" w:left="1600" w:header="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FE4" w:rsidRDefault="00EE4FE4">
      <w:r>
        <w:separator/>
      </w:r>
    </w:p>
  </w:endnote>
  <w:endnote w:type="continuationSeparator" w:id="0">
    <w:p w:rsidR="00EE4FE4" w:rsidRDefault="00EE4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2B" w:rsidRDefault="008C5318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6571615</wp:posOffset>
              </wp:positionH>
              <wp:positionV relativeFrom="page">
                <wp:posOffset>9894570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72B" w:rsidRDefault="00456C2C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0F83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45pt;margin-top:779.1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" filled="f" stroked="f">
              <v:textbox inset="0,0,0,0">
                <w:txbxContent>
                  <w:p w:rsidR="008A672B" w:rsidRDefault="00456C2C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0F83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FE4" w:rsidRDefault="00EE4FE4">
      <w:r>
        <w:separator/>
      </w:r>
    </w:p>
  </w:footnote>
  <w:footnote w:type="continuationSeparator" w:id="0">
    <w:p w:rsidR="00EE4FE4" w:rsidRDefault="00EE4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69ED"/>
    <w:multiLevelType w:val="hybridMultilevel"/>
    <w:tmpl w:val="DB224630"/>
    <w:lvl w:ilvl="0" w:tplc="2E060668">
      <w:start w:val="1"/>
      <w:numFmt w:val="lowerLetter"/>
      <w:lvlText w:val="%1)"/>
      <w:lvlJc w:val="left"/>
      <w:pPr>
        <w:ind w:left="1052" w:hanging="231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FF0ACE30">
      <w:numFmt w:val="bullet"/>
      <w:lvlText w:val="•"/>
      <w:lvlJc w:val="left"/>
      <w:pPr>
        <w:ind w:left="1854" w:hanging="231"/>
      </w:pPr>
      <w:rPr>
        <w:rFonts w:hint="default"/>
        <w:lang w:val="pt-PT" w:eastAsia="pt-PT" w:bidi="pt-PT"/>
      </w:rPr>
    </w:lvl>
    <w:lvl w:ilvl="2" w:tplc="7BF626FA">
      <w:numFmt w:val="bullet"/>
      <w:lvlText w:val="•"/>
      <w:lvlJc w:val="left"/>
      <w:pPr>
        <w:ind w:left="2649" w:hanging="231"/>
      </w:pPr>
      <w:rPr>
        <w:rFonts w:hint="default"/>
        <w:lang w:val="pt-PT" w:eastAsia="pt-PT" w:bidi="pt-PT"/>
      </w:rPr>
    </w:lvl>
    <w:lvl w:ilvl="3" w:tplc="BFE8AA92">
      <w:numFmt w:val="bullet"/>
      <w:lvlText w:val="•"/>
      <w:lvlJc w:val="left"/>
      <w:pPr>
        <w:ind w:left="3443" w:hanging="231"/>
      </w:pPr>
      <w:rPr>
        <w:rFonts w:hint="default"/>
        <w:lang w:val="pt-PT" w:eastAsia="pt-PT" w:bidi="pt-PT"/>
      </w:rPr>
    </w:lvl>
    <w:lvl w:ilvl="4" w:tplc="3FC4CC56">
      <w:numFmt w:val="bullet"/>
      <w:lvlText w:val="•"/>
      <w:lvlJc w:val="left"/>
      <w:pPr>
        <w:ind w:left="4238" w:hanging="231"/>
      </w:pPr>
      <w:rPr>
        <w:rFonts w:hint="default"/>
        <w:lang w:val="pt-PT" w:eastAsia="pt-PT" w:bidi="pt-PT"/>
      </w:rPr>
    </w:lvl>
    <w:lvl w:ilvl="5" w:tplc="BF466956">
      <w:numFmt w:val="bullet"/>
      <w:lvlText w:val="•"/>
      <w:lvlJc w:val="left"/>
      <w:pPr>
        <w:ind w:left="5033" w:hanging="231"/>
      </w:pPr>
      <w:rPr>
        <w:rFonts w:hint="default"/>
        <w:lang w:val="pt-PT" w:eastAsia="pt-PT" w:bidi="pt-PT"/>
      </w:rPr>
    </w:lvl>
    <w:lvl w:ilvl="6" w:tplc="7BEEB812">
      <w:numFmt w:val="bullet"/>
      <w:lvlText w:val="•"/>
      <w:lvlJc w:val="left"/>
      <w:pPr>
        <w:ind w:left="5827" w:hanging="231"/>
      </w:pPr>
      <w:rPr>
        <w:rFonts w:hint="default"/>
        <w:lang w:val="pt-PT" w:eastAsia="pt-PT" w:bidi="pt-PT"/>
      </w:rPr>
    </w:lvl>
    <w:lvl w:ilvl="7" w:tplc="08063206">
      <w:numFmt w:val="bullet"/>
      <w:lvlText w:val="•"/>
      <w:lvlJc w:val="left"/>
      <w:pPr>
        <w:ind w:left="6622" w:hanging="231"/>
      </w:pPr>
      <w:rPr>
        <w:rFonts w:hint="default"/>
        <w:lang w:val="pt-PT" w:eastAsia="pt-PT" w:bidi="pt-PT"/>
      </w:rPr>
    </w:lvl>
    <w:lvl w:ilvl="8" w:tplc="9F9E1B88">
      <w:numFmt w:val="bullet"/>
      <w:lvlText w:val="•"/>
      <w:lvlJc w:val="left"/>
      <w:pPr>
        <w:ind w:left="7417" w:hanging="231"/>
      </w:pPr>
      <w:rPr>
        <w:rFonts w:hint="default"/>
        <w:lang w:val="pt-PT" w:eastAsia="pt-PT" w:bidi="pt-PT"/>
      </w:rPr>
    </w:lvl>
  </w:abstractNum>
  <w:abstractNum w:abstractNumId="1" w15:restartNumberingAfterBreak="0">
    <w:nsid w:val="30D93566"/>
    <w:multiLevelType w:val="hybridMultilevel"/>
    <w:tmpl w:val="7F0A4926"/>
    <w:lvl w:ilvl="0" w:tplc="BBD2D63C">
      <w:start w:val="1"/>
      <w:numFmt w:val="upperLetter"/>
      <w:lvlText w:val="(%1)"/>
      <w:lvlJc w:val="left"/>
      <w:pPr>
        <w:ind w:left="419" w:hanging="318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39469B90">
      <w:start w:val="1"/>
      <w:numFmt w:val="lowerLetter"/>
      <w:lvlText w:val="%2)"/>
      <w:lvlJc w:val="left"/>
      <w:pPr>
        <w:ind w:left="822" w:hanging="236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2" w:tplc="8498646A">
      <w:numFmt w:val="bullet"/>
      <w:lvlText w:val="•"/>
      <w:lvlJc w:val="left"/>
      <w:pPr>
        <w:ind w:left="1729" w:hanging="236"/>
      </w:pPr>
      <w:rPr>
        <w:rFonts w:hint="default"/>
        <w:lang w:val="pt-PT" w:eastAsia="pt-PT" w:bidi="pt-PT"/>
      </w:rPr>
    </w:lvl>
    <w:lvl w:ilvl="3" w:tplc="CA1E821E">
      <w:numFmt w:val="bullet"/>
      <w:lvlText w:val="•"/>
      <w:lvlJc w:val="left"/>
      <w:pPr>
        <w:ind w:left="2639" w:hanging="236"/>
      </w:pPr>
      <w:rPr>
        <w:rFonts w:hint="default"/>
        <w:lang w:val="pt-PT" w:eastAsia="pt-PT" w:bidi="pt-PT"/>
      </w:rPr>
    </w:lvl>
    <w:lvl w:ilvl="4" w:tplc="201E729E">
      <w:numFmt w:val="bullet"/>
      <w:lvlText w:val="•"/>
      <w:lvlJc w:val="left"/>
      <w:pPr>
        <w:ind w:left="3548" w:hanging="236"/>
      </w:pPr>
      <w:rPr>
        <w:rFonts w:hint="default"/>
        <w:lang w:val="pt-PT" w:eastAsia="pt-PT" w:bidi="pt-PT"/>
      </w:rPr>
    </w:lvl>
    <w:lvl w:ilvl="5" w:tplc="AC8CF7DC">
      <w:numFmt w:val="bullet"/>
      <w:lvlText w:val="•"/>
      <w:lvlJc w:val="left"/>
      <w:pPr>
        <w:ind w:left="4458" w:hanging="236"/>
      </w:pPr>
      <w:rPr>
        <w:rFonts w:hint="default"/>
        <w:lang w:val="pt-PT" w:eastAsia="pt-PT" w:bidi="pt-PT"/>
      </w:rPr>
    </w:lvl>
    <w:lvl w:ilvl="6" w:tplc="767A9AD6">
      <w:numFmt w:val="bullet"/>
      <w:lvlText w:val="•"/>
      <w:lvlJc w:val="left"/>
      <w:pPr>
        <w:ind w:left="5368" w:hanging="236"/>
      </w:pPr>
      <w:rPr>
        <w:rFonts w:hint="default"/>
        <w:lang w:val="pt-PT" w:eastAsia="pt-PT" w:bidi="pt-PT"/>
      </w:rPr>
    </w:lvl>
    <w:lvl w:ilvl="7" w:tplc="AA169958">
      <w:numFmt w:val="bullet"/>
      <w:lvlText w:val="•"/>
      <w:lvlJc w:val="left"/>
      <w:pPr>
        <w:ind w:left="6277" w:hanging="236"/>
      </w:pPr>
      <w:rPr>
        <w:rFonts w:hint="default"/>
        <w:lang w:val="pt-PT" w:eastAsia="pt-PT" w:bidi="pt-PT"/>
      </w:rPr>
    </w:lvl>
    <w:lvl w:ilvl="8" w:tplc="439887C0">
      <w:numFmt w:val="bullet"/>
      <w:lvlText w:val="•"/>
      <w:lvlJc w:val="left"/>
      <w:pPr>
        <w:ind w:left="7187" w:hanging="236"/>
      </w:pPr>
      <w:rPr>
        <w:rFonts w:hint="default"/>
        <w:lang w:val="pt-PT" w:eastAsia="pt-PT" w:bidi="pt-PT"/>
      </w:rPr>
    </w:lvl>
  </w:abstractNum>
  <w:abstractNum w:abstractNumId="2" w15:restartNumberingAfterBreak="0">
    <w:nsid w:val="39C04D18"/>
    <w:multiLevelType w:val="hybridMultilevel"/>
    <w:tmpl w:val="9976C3B2"/>
    <w:lvl w:ilvl="0" w:tplc="3EEAEBC6">
      <w:start w:val="1"/>
      <w:numFmt w:val="lowerLetter"/>
      <w:lvlText w:val="%1)"/>
      <w:lvlJc w:val="left"/>
      <w:pPr>
        <w:ind w:left="102" w:hanging="240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AD2E5F16">
      <w:numFmt w:val="bullet"/>
      <w:lvlText w:val="•"/>
      <w:lvlJc w:val="left"/>
      <w:pPr>
        <w:ind w:left="990" w:hanging="240"/>
      </w:pPr>
      <w:rPr>
        <w:rFonts w:hint="default"/>
        <w:lang w:val="pt-PT" w:eastAsia="pt-PT" w:bidi="pt-PT"/>
      </w:rPr>
    </w:lvl>
    <w:lvl w:ilvl="2" w:tplc="34C6E49A">
      <w:numFmt w:val="bullet"/>
      <w:lvlText w:val="•"/>
      <w:lvlJc w:val="left"/>
      <w:pPr>
        <w:ind w:left="1881" w:hanging="240"/>
      </w:pPr>
      <w:rPr>
        <w:rFonts w:hint="default"/>
        <w:lang w:val="pt-PT" w:eastAsia="pt-PT" w:bidi="pt-PT"/>
      </w:rPr>
    </w:lvl>
    <w:lvl w:ilvl="3" w:tplc="81D41560">
      <w:numFmt w:val="bullet"/>
      <w:lvlText w:val="•"/>
      <w:lvlJc w:val="left"/>
      <w:pPr>
        <w:ind w:left="2771" w:hanging="240"/>
      </w:pPr>
      <w:rPr>
        <w:rFonts w:hint="default"/>
        <w:lang w:val="pt-PT" w:eastAsia="pt-PT" w:bidi="pt-PT"/>
      </w:rPr>
    </w:lvl>
    <w:lvl w:ilvl="4" w:tplc="6F7EAE5A">
      <w:numFmt w:val="bullet"/>
      <w:lvlText w:val="•"/>
      <w:lvlJc w:val="left"/>
      <w:pPr>
        <w:ind w:left="3662" w:hanging="240"/>
      </w:pPr>
      <w:rPr>
        <w:rFonts w:hint="default"/>
        <w:lang w:val="pt-PT" w:eastAsia="pt-PT" w:bidi="pt-PT"/>
      </w:rPr>
    </w:lvl>
    <w:lvl w:ilvl="5" w:tplc="67860970">
      <w:numFmt w:val="bullet"/>
      <w:lvlText w:val="•"/>
      <w:lvlJc w:val="left"/>
      <w:pPr>
        <w:ind w:left="4553" w:hanging="240"/>
      </w:pPr>
      <w:rPr>
        <w:rFonts w:hint="default"/>
        <w:lang w:val="pt-PT" w:eastAsia="pt-PT" w:bidi="pt-PT"/>
      </w:rPr>
    </w:lvl>
    <w:lvl w:ilvl="6" w:tplc="7C3ED084">
      <w:numFmt w:val="bullet"/>
      <w:lvlText w:val="•"/>
      <w:lvlJc w:val="left"/>
      <w:pPr>
        <w:ind w:left="5443" w:hanging="240"/>
      </w:pPr>
      <w:rPr>
        <w:rFonts w:hint="default"/>
        <w:lang w:val="pt-PT" w:eastAsia="pt-PT" w:bidi="pt-PT"/>
      </w:rPr>
    </w:lvl>
    <w:lvl w:ilvl="7" w:tplc="E7B0C9B2">
      <w:numFmt w:val="bullet"/>
      <w:lvlText w:val="•"/>
      <w:lvlJc w:val="left"/>
      <w:pPr>
        <w:ind w:left="6334" w:hanging="240"/>
      </w:pPr>
      <w:rPr>
        <w:rFonts w:hint="default"/>
        <w:lang w:val="pt-PT" w:eastAsia="pt-PT" w:bidi="pt-PT"/>
      </w:rPr>
    </w:lvl>
    <w:lvl w:ilvl="8" w:tplc="5B880698">
      <w:numFmt w:val="bullet"/>
      <w:lvlText w:val="•"/>
      <w:lvlJc w:val="left"/>
      <w:pPr>
        <w:ind w:left="7225" w:hanging="240"/>
      </w:pPr>
      <w:rPr>
        <w:rFonts w:hint="default"/>
        <w:lang w:val="pt-PT" w:eastAsia="pt-PT" w:bidi="pt-PT"/>
      </w:rPr>
    </w:lvl>
  </w:abstractNum>
  <w:abstractNum w:abstractNumId="3" w15:restartNumberingAfterBreak="0">
    <w:nsid w:val="589A496D"/>
    <w:multiLevelType w:val="hybridMultilevel"/>
    <w:tmpl w:val="50C28170"/>
    <w:lvl w:ilvl="0" w:tplc="4A727D88">
      <w:start w:val="1"/>
      <w:numFmt w:val="lowerLetter"/>
      <w:lvlText w:val="%1)"/>
      <w:lvlJc w:val="left"/>
      <w:pPr>
        <w:ind w:left="810" w:hanging="252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3F0AF3CC">
      <w:numFmt w:val="bullet"/>
      <w:lvlText w:val="•"/>
      <w:lvlJc w:val="left"/>
      <w:pPr>
        <w:ind w:left="1638" w:hanging="252"/>
      </w:pPr>
      <w:rPr>
        <w:rFonts w:hint="default"/>
        <w:lang w:val="pt-PT" w:eastAsia="pt-PT" w:bidi="pt-PT"/>
      </w:rPr>
    </w:lvl>
    <w:lvl w:ilvl="2" w:tplc="7E46DC56">
      <w:numFmt w:val="bullet"/>
      <w:lvlText w:val="•"/>
      <w:lvlJc w:val="left"/>
      <w:pPr>
        <w:ind w:left="2457" w:hanging="252"/>
      </w:pPr>
      <w:rPr>
        <w:rFonts w:hint="default"/>
        <w:lang w:val="pt-PT" w:eastAsia="pt-PT" w:bidi="pt-PT"/>
      </w:rPr>
    </w:lvl>
    <w:lvl w:ilvl="3" w:tplc="5CE07EBA">
      <w:numFmt w:val="bullet"/>
      <w:lvlText w:val="•"/>
      <w:lvlJc w:val="left"/>
      <w:pPr>
        <w:ind w:left="3275" w:hanging="252"/>
      </w:pPr>
      <w:rPr>
        <w:rFonts w:hint="default"/>
        <w:lang w:val="pt-PT" w:eastAsia="pt-PT" w:bidi="pt-PT"/>
      </w:rPr>
    </w:lvl>
    <w:lvl w:ilvl="4" w:tplc="4E4ADC54">
      <w:numFmt w:val="bullet"/>
      <w:lvlText w:val="•"/>
      <w:lvlJc w:val="left"/>
      <w:pPr>
        <w:ind w:left="4094" w:hanging="252"/>
      </w:pPr>
      <w:rPr>
        <w:rFonts w:hint="default"/>
        <w:lang w:val="pt-PT" w:eastAsia="pt-PT" w:bidi="pt-PT"/>
      </w:rPr>
    </w:lvl>
    <w:lvl w:ilvl="5" w:tplc="21C27AAA">
      <w:numFmt w:val="bullet"/>
      <w:lvlText w:val="•"/>
      <w:lvlJc w:val="left"/>
      <w:pPr>
        <w:ind w:left="4913" w:hanging="252"/>
      </w:pPr>
      <w:rPr>
        <w:rFonts w:hint="default"/>
        <w:lang w:val="pt-PT" w:eastAsia="pt-PT" w:bidi="pt-PT"/>
      </w:rPr>
    </w:lvl>
    <w:lvl w:ilvl="6" w:tplc="42F65AF6">
      <w:numFmt w:val="bullet"/>
      <w:lvlText w:val="•"/>
      <w:lvlJc w:val="left"/>
      <w:pPr>
        <w:ind w:left="5731" w:hanging="252"/>
      </w:pPr>
      <w:rPr>
        <w:rFonts w:hint="default"/>
        <w:lang w:val="pt-PT" w:eastAsia="pt-PT" w:bidi="pt-PT"/>
      </w:rPr>
    </w:lvl>
    <w:lvl w:ilvl="7" w:tplc="00F8A374">
      <w:numFmt w:val="bullet"/>
      <w:lvlText w:val="•"/>
      <w:lvlJc w:val="left"/>
      <w:pPr>
        <w:ind w:left="6550" w:hanging="252"/>
      </w:pPr>
      <w:rPr>
        <w:rFonts w:hint="default"/>
        <w:lang w:val="pt-PT" w:eastAsia="pt-PT" w:bidi="pt-PT"/>
      </w:rPr>
    </w:lvl>
    <w:lvl w:ilvl="8" w:tplc="328C9732">
      <w:numFmt w:val="bullet"/>
      <w:lvlText w:val="•"/>
      <w:lvlJc w:val="left"/>
      <w:pPr>
        <w:ind w:left="7369" w:hanging="252"/>
      </w:pPr>
      <w:rPr>
        <w:rFonts w:hint="default"/>
        <w:lang w:val="pt-PT" w:eastAsia="pt-PT" w:bidi="pt-PT"/>
      </w:rPr>
    </w:lvl>
  </w:abstractNum>
  <w:abstractNum w:abstractNumId="4" w15:restartNumberingAfterBreak="0">
    <w:nsid w:val="64B70CCE"/>
    <w:multiLevelType w:val="hybridMultilevel"/>
    <w:tmpl w:val="F8125C0C"/>
    <w:lvl w:ilvl="0" w:tplc="C3B6B6F4">
      <w:start w:val="1"/>
      <w:numFmt w:val="upperLetter"/>
      <w:lvlText w:val="(%1)"/>
      <w:lvlJc w:val="left"/>
      <w:pPr>
        <w:ind w:left="102" w:hanging="339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5C4AF1EE">
      <w:start w:val="1"/>
      <w:numFmt w:val="lowerLetter"/>
      <w:lvlText w:val="(%2)"/>
      <w:lvlJc w:val="left"/>
      <w:pPr>
        <w:ind w:left="102" w:hanging="298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  <w:lang w:val="pt-PT" w:eastAsia="pt-PT" w:bidi="pt-PT"/>
      </w:rPr>
    </w:lvl>
    <w:lvl w:ilvl="2" w:tplc="C5E462C6">
      <w:numFmt w:val="bullet"/>
      <w:lvlText w:val="•"/>
      <w:lvlJc w:val="left"/>
      <w:pPr>
        <w:ind w:left="1881" w:hanging="298"/>
      </w:pPr>
      <w:rPr>
        <w:rFonts w:hint="default"/>
        <w:lang w:val="pt-PT" w:eastAsia="pt-PT" w:bidi="pt-PT"/>
      </w:rPr>
    </w:lvl>
    <w:lvl w:ilvl="3" w:tplc="B362539A">
      <w:numFmt w:val="bullet"/>
      <w:lvlText w:val="•"/>
      <w:lvlJc w:val="left"/>
      <w:pPr>
        <w:ind w:left="2771" w:hanging="298"/>
      </w:pPr>
      <w:rPr>
        <w:rFonts w:hint="default"/>
        <w:lang w:val="pt-PT" w:eastAsia="pt-PT" w:bidi="pt-PT"/>
      </w:rPr>
    </w:lvl>
    <w:lvl w:ilvl="4" w:tplc="971EC38E">
      <w:numFmt w:val="bullet"/>
      <w:lvlText w:val="•"/>
      <w:lvlJc w:val="left"/>
      <w:pPr>
        <w:ind w:left="3662" w:hanging="298"/>
      </w:pPr>
      <w:rPr>
        <w:rFonts w:hint="default"/>
        <w:lang w:val="pt-PT" w:eastAsia="pt-PT" w:bidi="pt-PT"/>
      </w:rPr>
    </w:lvl>
    <w:lvl w:ilvl="5" w:tplc="B8A2B67C">
      <w:numFmt w:val="bullet"/>
      <w:lvlText w:val="•"/>
      <w:lvlJc w:val="left"/>
      <w:pPr>
        <w:ind w:left="4553" w:hanging="298"/>
      </w:pPr>
      <w:rPr>
        <w:rFonts w:hint="default"/>
        <w:lang w:val="pt-PT" w:eastAsia="pt-PT" w:bidi="pt-PT"/>
      </w:rPr>
    </w:lvl>
    <w:lvl w:ilvl="6" w:tplc="40463300">
      <w:numFmt w:val="bullet"/>
      <w:lvlText w:val="•"/>
      <w:lvlJc w:val="left"/>
      <w:pPr>
        <w:ind w:left="5443" w:hanging="298"/>
      </w:pPr>
      <w:rPr>
        <w:rFonts w:hint="default"/>
        <w:lang w:val="pt-PT" w:eastAsia="pt-PT" w:bidi="pt-PT"/>
      </w:rPr>
    </w:lvl>
    <w:lvl w:ilvl="7" w:tplc="0A9C4300">
      <w:numFmt w:val="bullet"/>
      <w:lvlText w:val="•"/>
      <w:lvlJc w:val="left"/>
      <w:pPr>
        <w:ind w:left="6334" w:hanging="298"/>
      </w:pPr>
      <w:rPr>
        <w:rFonts w:hint="default"/>
        <w:lang w:val="pt-PT" w:eastAsia="pt-PT" w:bidi="pt-PT"/>
      </w:rPr>
    </w:lvl>
    <w:lvl w:ilvl="8" w:tplc="BF98B878">
      <w:numFmt w:val="bullet"/>
      <w:lvlText w:val="•"/>
      <w:lvlJc w:val="left"/>
      <w:pPr>
        <w:ind w:left="7225" w:hanging="298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2B"/>
    <w:rsid w:val="00052156"/>
    <w:rsid w:val="000C42CE"/>
    <w:rsid w:val="0012231C"/>
    <w:rsid w:val="00371820"/>
    <w:rsid w:val="00456C2C"/>
    <w:rsid w:val="005A0C08"/>
    <w:rsid w:val="005A0F83"/>
    <w:rsid w:val="00891761"/>
    <w:rsid w:val="008A672B"/>
    <w:rsid w:val="008C5318"/>
    <w:rsid w:val="008E42D3"/>
    <w:rsid w:val="00977E80"/>
    <w:rsid w:val="00B06DBD"/>
    <w:rsid w:val="00B422D9"/>
    <w:rsid w:val="00B62D40"/>
    <w:rsid w:val="00C568E7"/>
    <w:rsid w:val="00CD7746"/>
    <w:rsid w:val="00D519CB"/>
    <w:rsid w:val="00D7241F"/>
    <w:rsid w:val="00DA7576"/>
    <w:rsid w:val="00ED2E73"/>
    <w:rsid w:val="00EE4FE4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19434"/>
  <w15:docId w15:val="{7B0F9B89-4B69-43BF-A0BF-1CDE782B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21" w:right="11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2807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COMPRA E VENDA DE I MÓVEIS</vt:lpstr>
    </vt:vector>
  </TitlesOfParts>
  <Company/>
  <LinksUpToDate>false</LinksUpToDate>
  <CharactersWithSpaces>17935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E VENDA DE I MÓVEIS</dc:title>
  <dc:creator>Eliane</dc:creator>
  <cp:lastModifiedBy>immobile</cp:lastModifiedBy>
  <cp:revision>14</cp:revision>
  <dcterms:created xsi:type="dcterms:W3CDTF">2020-02-18T13:22:00Z</dcterms:created>
  <dcterms:modified xsi:type="dcterms:W3CDTF">2020-02-18T17:02:00Z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